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rPr>
          <w:rFonts w:ascii="Times New Roman" w:hAnsi="Times New Roman" w:eastAsia="宋体" w:cs="Times New Roman"/>
        </w:rPr>
      </w:pPr>
      <w:r>
        <w:rPr>
          <w:rFonts w:ascii="Times New Roman" w:hAnsi="Times New Roman" w:eastAsia="宋体" w:cs="Times New Roman"/>
        </w:rPr>
        <w:t>临沧市人民医院青华医院</w:t>
      </w:r>
      <w:r>
        <w:rPr>
          <w:rFonts w:hint="eastAsia" w:ascii="Times New Roman" w:hAnsi="Times New Roman" w:eastAsia="宋体" w:cs="Times New Roman"/>
        </w:rPr>
        <w:t>青华医院</w:t>
      </w:r>
    </w:p>
    <w:p>
      <w:pPr>
        <w:pStyle w:val="6"/>
        <w:spacing w:line="360" w:lineRule="auto"/>
        <w:rPr>
          <w:rFonts w:ascii="Times New Roman" w:hAnsi="Times New Roman" w:eastAsia="宋体" w:cs="Times New Roman"/>
        </w:rPr>
      </w:pPr>
      <w:r>
        <w:rPr>
          <w:rFonts w:ascii="Times New Roman" w:hAnsi="Times New Roman" w:eastAsia="宋体" w:cs="Times New Roman"/>
        </w:rPr>
        <w:t>医疗废水达标排放与医疗废物处置公示</w:t>
      </w:r>
    </w:p>
    <w:p>
      <w:pPr>
        <w:spacing w:line="360" w:lineRule="auto"/>
        <w:rPr>
          <w:rFonts w:ascii="Times New Roman" w:hAnsi="Times New Roman" w:eastAsia="宋体" w:cs="Times New Roman"/>
        </w:rPr>
      </w:pPr>
    </w:p>
    <w:p>
      <w:pPr>
        <w:pStyle w:val="14"/>
        <w:numPr>
          <w:ilvl w:val="0"/>
          <w:numId w:val="1"/>
        </w:numPr>
        <w:spacing w:line="360" w:lineRule="auto"/>
        <w:ind w:firstLineChars="0"/>
        <w:rPr>
          <w:rFonts w:ascii="Times New Roman" w:hAnsi="Times New Roman" w:eastAsia="宋体" w:cs="Times New Roman"/>
          <w:b/>
          <w:bCs/>
        </w:rPr>
      </w:pPr>
      <w:r>
        <w:rPr>
          <w:rFonts w:ascii="Times New Roman" w:hAnsi="Times New Roman" w:eastAsia="宋体" w:cs="Times New Roman"/>
          <w:b/>
          <w:bCs/>
        </w:rPr>
        <w:t>医疗废水排放情况</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临沧市人民医院青华医院的废水包括医疗废水、特殊废水（实验检验废水）。这些废水在收集后，经过化粪池处理后排入医院自建的废水处理站。该废水处理站的处理能力为每天</w:t>
      </w:r>
      <w:r>
        <w:rPr>
          <w:rFonts w:ascii="Times New Roman" w:hAnsi="Times New Roman" w:eastAsia="宋体" w:cs="Times New Roman"/>
        </w:rPr>
        <w:t>1100立方米。在2023年1月至3月期间，分别处理了7883.48立方米、9408.57立方米和8735.50立方米的废水。经过处理后，废水达到了城市污水管网排放标准，并最终进入临翔区污水处理厂。</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临沧市人民医院青华医院已于</w:t>
      </w:r>
      <w:r>
        <w:rPr>
          <w:rFonts w:ascii="Times New Roman" w:hAnsi="Times New Roman" w:eastAsia="宋体" w:cs="Times New Roman"/>
        </w:rPr>
        <w:t>2020年获得排污许可证，并严格按照排污许可证的要求</w:t>
      </w:r>
      <w:r>
        <w:rPr>
          <w:rFonts w:hint="eastAsia" w:ascii="Times New Roman" w:hAnsi="Times New Roman" w:eastAsia="宋体" w:cs="Times New Roman"/>
        </w:rPr>
        <w:t>开展</w:t>
      </w:r>
      <w:r>
        <w:rPr>
          <w:rFonts w:ascii="Times New Roman" w:hAnsi="Times New Roman" w:eastAsia="宋体" w:cs="Times New Roman"/>
        </w:rPr>
        <w:t>监测工作。其中，化学需氧量、氨氮、pH值、悬浮物和流量指标</w:t>
      </w:r>
      <w:r>
        <w:rPr>
          <w:rFonts w:hint="eastAsia" w:ascii="Times New Roman" w:hAnsi="Times New Roman" w:eastAsia="宋体" w:cs="Times New Roman"/>
        </w:rPr>
        <w:t>为</w:t>
      </w:r>
      <w:r>
        <w:rPr>
          <w:rFonts w:ascii="Times New Roman" w:hAnsi="Times New Roman" w:eastAsia="宋体" w:cs="Times New Roman"/>
        </w:rPr>
        <w:t>在线监测。其余指标委托第三方检测公司进行检测，监测指标和检测频次均符合排污许可证的要求。</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根据检测数据显示，临沧市人民医院青华医院排放的废水满足《医疗机构水污染物排放标准》（</w:t>
      </w:r>
      <w:r>
        <w:rPr>
          <w:rFonts w:ascii="Times New Roman" w:hAnsi="Times New Roman" w:eastAsia="宋体" w:cs="Times New Roman"/>
        </w:rPr>
        <w:t>GB 18466-2005）的“表2 综合医疗机构和其他医疗机构水污染物排放限制（日均值）”中的预处理标准限值，氨氮和色度均符合《污水排入城镇下水道水质标准》（GB/T 31962-2015）的要求。</w:t>
      </w: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813050"/>
            <wp:effectExtent l="0" t="0" r="0" b="0"/>
            <wp:docPr id="98759442" name="图片 1" descr="形状, 矩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9442" name="图片 1" descr="形状, 矩形&#10;&#10;描述已自动生成"/>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2813050"/>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813050"/>
            <wp:effectExtent l="0" t="0" r="0" b="0"/>
            <wp:docPr id="1246499181" name="图片 2" descr="形状, 矩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499181" name="图片 2" descr="形状, 矩形&#10;&#10;描述已自动生成"/>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2813050"/>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813050"/>
            <wp:effectExtent l="0" t="0" r="0" b="0"/>
            <wp:docPr id="439514347" name="图片 3" descr="形状, 矩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14347" name="图片 3" descr="形状, 矩形&#10;&#10;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813050"/>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482215"/>
            <wp:effectExtent l="0" t="0" r="0" b="0"/>
            <wp:docPr id="1530877430" name="图片 4" descr="图表, 直方图, 瀑布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77430" name="图片 4" descr="图表, 直方图, 瀑布图&#10;&#10;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482215"/>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482215"/>
            <wp:effectExtent l="0" t="0" r="0" b="0"/>
            <wp:docPr id="1942988919" name="图片 5" descr="图表, 条形图,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88919" name="图片 5" descr="图表, 条形图, 直方图&#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482215"/>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482215"/>
            <wp:effectExtent l="0" t="0" r="0" b="0"/>
            <wp:docPr id="1832973300" name="图片 6"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73300" name="图片 6" descr="图表&#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482215"/>
                    </a:xfrm>
                    <a:prstGeom prst="rect">
                      <a:avLst/>
                    </a:prstGeom>
                  </pic:spPr>
                </pic:pic>
              </a:graphicData>
            </a:graphic>
          </wp:inline>
        </w:drawing>
      </w:r>
    </w:p>
    <w:p/>
    <w:p>
      <w:pPr>
        <w:rPr>
          <w:rFonts w:ascii="Times New Roman" w:hAnsi="Times New Roman" w:eastAsia="宋体" w:cs="Times New Roman"/>
          <w:sz w:val="24"/>
          <w:szCs w:val="24"/>
        </w:rPr>
      </w:pPr>
      <w:r>
        <w:rPr>
          <w:rFonts w:ascii="Times New Roman" w:hAnsi="Times New Roman" w:eastAsia="宋体" w:cs="Times New Roman"/>
          <w:sz w:val="24"/>
          <w:szCs w:val="24"/>
        </w:rPr>
        <w:t>备注：2023年3月18~19日由于城市污水管网污水倒流，导致氨氮超标。</w:t>
      </w:r>
    </w:p>
    <w:p>
      <w:r>
        <w:rPr>
          <w:rFonts w:hint="eastAsia"/>
        </w:rPr>
        <w:drawing>
          <wp:inline distT="0" distB="0" distL="0" distR="0">
            <wp:extent cx="5274310" cy="3515995"/>
            <wp:effectExtent l="0" t="0" r="0" b="0"/>
            <wp:docPr id="567796387" name="图片 7"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796387" name="图片 7" descr="图表&#10;&#10;描述已自动生成"/>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inline>
        </w:drawing>
      </w:r>
    </w:p>
    <w:p>
      <w:r>
        <w:rPr>
          <w:rFonts w:hint="eastAsia"/>
        </w:rPr>
        <w:drawing>
          <wp:inline distT="0" distB="0" distL="0" distR="0">
            <wp:extent cx="5274310" cy="4908550"/>
            <wp:effectExtent l="0" t="0" r="0" b="0"/>
            <wp:docPr id="1806337323" name="图片 8" descr="图表,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37323" name="图片 8" descr="图表, 图示&#10;&#10;描述已自动生成"/>
                    <pic:cNvPicPr>
                      <a:picLocks noChangeAspect="1"/>
                    </pic:cNvPicPr>
                  </pic:nvPicPr>
                  <pic:blipFill>
                    <a:blip r:embed="rId11" cstate="print">
                      <a:extLst>
                        <a:ext uri="{28A0092B-C50C-407E-A947-70E740481C1C}">
                          <a14:useLocalDpi xmlns:a14="http://schemas.microsoft.com/office/drawing/2010/main" val="0"/>
                        </a:ext>
                      </a:extLst>
                    </a:blip>
                    <a:srcRect b="6934"/>
                    <a:stretch>
                      <a:fillRect/>
                    </a:stretch>
                  </pic:blipFill>
                  <pic:spPr>
                    <a:xfrm>
                      <a:off x="0" y="0"/>
                      <a:ext cx="5274310" cy="4908589"/>
                    </a:xfrm>
                    <a:prstGeom prst="rect">
                      <a:avLst/>
                    </a:prstGeom>
                    <a:ln>
                      <a:noFill/>
                    </a:ln>
                  </pic:spPr>
                </pic:pic>
              </a:graphicData>
            </a:graphic>
          </wp:inline>
        </w:drawing>
      </w:r>
    </w:p>
    <w:p>
      <w:pPr>
        <w:pStyle w:val="3"/>
        <w:jc w:val="center"/>
      </w:pPr>
      <w:r>
        <w:t xml:space="preserve">图表 </w:t>
      </w:r>
      <w:r>
        <w:rPr>
          <w:rFonts w:hint="eastAsia"/>
        </w:rPr>
        <w:t>污水处理站周界无组织废气监测结果</w:t>
      </w:r>
    </w:p>
    <w:p>
      <w:pPr>
        <w:pStyle w:val="14"/>
        <w:numPr>
          <w:ilvl w:val="0"/>
          <w:numId w:val="1"/>
        </w:numPr>
        <w:spacing w:line="360" w:lineRule="auto"/>
        <w:ind w:firstLineChars="0"/>
        <w:rPr>
          <w:rFonts w:ascii="Times New Roman" w:hAnsi="Times New Roman" w:eastAsia="宋体" w:cs="Times New Roman"/>
          <w:b/>
          <w:bCs/>
        </w:rPr>
      </w:pPr>
      <w:r>
        <w:rPr>
          <w:rFonts w:hint="eastAsia" w:ascii="Times New Roman" w:hAnsi="Times New Roman" w:eastAsia="宋体" w:cs="Times New Roman"/>
          <w:b/>
          <w:bCs/>
        </w:rPr>
        <w:t>危险废物</w:t>
      </w:r>
      <w:r>
        <w:rPr>
          <w:rFonts w:ascii="Times New Roman" w:hAnsi="Times New Roman" w:eastAsia="宋体" w:cs="Times New Roman"/>
          <w:b/>
          <w:bCs/>
        </w:rPr>
        <w:t>处置情况</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临沧市人民医院青华医院在运行过程中产生六种危险废物，包括医疗废物和在线监测废液。医疗废物包括以下五类：感染性废物、病理性废物、损伤性废物、药物性废物以及化学性废物。</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为了妥善处理这些危险废物，临沧市人民医院青华医院进行了有效的收集工作，并将其委托给有资质的公司进行安全处置，其处置率达到</w:t>
      </w:r>
      <w:r>
        <w:rPr>
          <w:rFonts w:ascii="Times New Roman" w:hAnsi="Times New Roman" w:eastAsia="宋体" w:cs="Times New Roman"/>
        </w:rPr>
        <w:t>100%。具体而言，感染性废物和病理性废物由临沧市金盛医疗废物处置有限公司负责处置，而病理</w:t>
      </w:r>
      <w:r>
        <w:rPr>
          <w:rFonts w:hint="eastAsia" w:ascii="Times New Roman" w:hAnsi="Times New Roman" w:eastAsia="宋体" w:cs="Times New Roman"/>
          <w:lang w:eastAsia="zh-CN"/>
        </w:rPr>
        <w:t>性</w:t>
      </w:r>
      <w:bookmarkStart w:id="0" w:name="_GoBack"/>
      <w:bookmarkEnd w:id="0"/>
      <w:r>
        <w:rPr>
          <w:rFonts w:ascii="Times New Roman" w:hAnsi="Times New Roman" w:eastAsia="宋体" w:cs="Times New Roman"/>
        </w:rPr>
        <w:t>废物交由临沧市临翔区殡仪馆进行处置。药物性废物、化学性废物以及在线监测废液则由云南大地丰源环保有限公司负责处置。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5"/>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b/>
                <w:bCs/>
              </w:rPr>
              <w:t>医疗废物种类</w:t>
            </w:r>
          </w:p>
        </w:tc>
        <w:tc>
          <w:tcPr>
            <w:tcW w:w="1704" w:type="dxa"/>
            <w:vAlign w:val="center"/>
          </w:tcPr>
          <w:p>
            <w:pPr>
              <w:jc w:val="center"/>
              <w:rPr>
                <w:rFonts w:ascii="Times New Roman" w:hAnsi="Times New Roman" w:eastAsia="宋体" w:cs="Times New Roman"/>
                <w:b/>
                <w:bCs/>
              </w:rPr>
            </w:pPr>
            <w:r>
              <w:rPr>
                <w:rFonts w:ascii="Times New Roman" w:hAnsi="Times New Roman" w:eastAsia="宋体" w:cs="Times New Roman"/>
                <w:b/>
                <w:bCs/>
              </w:rPr>
              <w:t>2023</w:t>
            </w:r>
            <w:r>
              <w:rPr>
                <w:rFonts w:hint="eastAsia" w:ascii="Times New Roman" w:hAnsi="Times New Roman" w:eastAsia="宋体" w:cs="Times New Roman"/>
                <w:b/>
                <w:bCs/>
              </w:rPr>
              <w:t>年1月</w:t>
            </w:r>
          </w:p>
          <w:p>
            <w:pPr>
              <w:jc w:val="center"/>
              <w:rPr>
                <w:rFonts w:ascii="Times New Roman" w:hAnsi="Times New Roman" w:eastAsia="宋体" w:cs="Times New Roman"/>
                <w:b/>
                <w:bCs/>
              </w:rPr>
            </w:pPr>
            <w:r>
              <w:rPr>
                <w:rFonts w:hint="eastAsia" w:ascii="Times New Roman" w:hAnsi="Times New Roman" w:eastAsia="宋体" w:cs="Times New Roman"/>
                <w:b/>
                <w:bCs/>
              </w:rPr>
              <w:t>（千克）</w:t>
            </w:r>
          </w:p>
        </w:tc>
        <w:tc>
          <w:tcPr>
            <w:tcW w:w="1705" w:type="dxa"/>
            <w:vAlign w:val="center"/>
          </w:tcPr>
          <w:p>
            <w:pPr>
              <w:jc w:val="center"/>
              <w:rPr>
                <w:rFonts w:ascii="Times New Roman" w:hAnsi="Times New Roman" w:eastAsia="宋体" w:cs="Times New Roman"/>
                <w:b/>
                <w:bCs/>
              </w:rPr>
            </w:pPr>
            <w:r>
              <w:rPr>
                <w:rFonts w:ascii="Times New Roman" w:hAnsi="Times New Roman" w:eastAsia="宋体" w:cs="Times New Roman"/>
                <w:b/>
                <w:bCs/>
              </w:rPr>
              <w:t>2023</w:t>
            </w:r>
            <w:r>
              <w:rPr>
                <w:rFonts w:hint="eastAsia" w:ascii="Times New Roman" w:hAnsi="Times New Roman" w:eastAsia="宋体" w:cs="Times New Roman"/>
                <w:b/>
                <w:bCs/>
              </w:rPr>
              <w:t>年2月</w:t>
            </w:r>
          </w:p>
          <w:p>
            <w:pPr>
              <w:jc w:val="center"/>
              <w:rPr>
                <w:rFonts w:ascii="Times New Roman" w:hAnsi="Times New Roman" w:eastAsia="宋体" w:cs="Times New Roman"/>
                <w:b/>
                <w:bCs/>
              </w:rPr>
            </w:pPr>
            <w:r>
              <w:rPr>
                <w:rFonts w:hint="eastAsia" w:ascii="Times New Roman" w:hAnsi="Times New Roman" w:eastAsia="宋体" w:cs="Times New Roman"/>
                <w:b/>
                <w:bCs/>
              </w:rPr>
              <w:t>（千克）</w:t>
            </w:r>
          </w:p>
        </w:tc>
        <w:tc>
          <w:tcPr>
            <w:tcW w:w="1704" w:type="dxa"/>
            <w:vAlign w:val="center"/>
          </w:tcPr>
          <w:p>
            <w:pPr>
              <w:jc w:val="center"/>
              <w:rPr>
                <w:rFonts w:ascii="Times New Roman" w:hAnsi="Times New Roman" w:eastAsia="宋体" w:cs="Times New Roman"/>
                <w:b/>
                <w:bCs/>
              </w:rPr>
            </w:pPr>
            <w:r>
              <w:rPr>
                <w:rFonts w:ascii="Times New Roman" w:hAnsi="Times New Roman" w:eastAsia="宋体" w:cs="Times New Roman"/>
                <w:b/>
                <w:bCs/>
              </w:rPr>
              <w:t>2023</w:t>
            </w:r>
            <w:r>
              <w:rPr>
                <w:rFonts w:hint="eastAsia" w:ascii="Times New Roman" w:hAnsi="Times New Roman" w:eastAsia="宋体" w:cs="Times New Roman"/>
                <w:b/>
                <w:bCs/>
              </w:rPr>
              <w:t>年3月</w:t>
            </w:r>
          </w:p>
          <w:p>
            <w:pPr>
              <w:jc w:val="center"/>
              <w:rPr>
                <w:rFonts w:ascii="Times New Roman" w:hAnsi="Times New Roman" w:eastAsia="宋体" w:cs="Times New Roman"/>
                <w:b/>
                <w:bCs/>
              </w:rPr>
            </w:pPr>
            <w:r>
              <w:rPr>
                <w:rFonts w:hint="eastAsia" w:ascii="Times New Roman" w:hAnsi="Times New Roman" w:eastAsia="宋体" w:cs="Times New Roman"/>
                <w:b/>
                <w:bCs/>
              </w:rPr>
              <w:t>（千克）</w:t>
            </w:r>
          </w:p>
        </w:tc>
        <w:tc>
          <w:tcPr>
            <w:tcW w:w="1705" w:type="dxa"/>
          </w:tcPr>
          <w:p>
            <w:pPr>
              <w:jc w:val="center"/>
              <w:rPr>
                <w:rFonts w:ascii="Times New Roman" w:hAnsi="Times New Roman" w:eastAsia="宋体" w:cs="Times New Roman"/>
                <w:b/>
                <w:bCs/>
              </w:rPr>
            </w:pPr>
            <w:r>
              <w:rPr>
                <w:rFonts w:hint="eastAsia" w:ascii="Times New Roman" w:hAnsi="Times New Roman" w:eastAsia="宋体" w:cs="Times New Roman"/>
                <w:b/>
                <w:bCs/>
              </w:rPr>
              <w:t>合计</w:t>
            </w:r>
          </w:p>
          <w:p>
            <w:pPr>
              <w:jc w:val="center"/>
              <w:rPr>
                <w:rFonts w:ascii="Times New Roman" w:hAnsi="Times New Roman" w:eastAsia="宋体" w:cs="Times New Roman"/>
                <w:b/>
                <w:bCs/>
              </w:rPr>
            </w:pPr>
            <w:r>
              <w:rPr>
                <w:rFonts w:hint="eastAsia" w:ascii="Times New Roman" w:hAnsi="Times New Roman" w:eastAsia="宋体" w:cs="Times New Roman"/>
                <w:b/>
                <w:bCs/>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感染性废物</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15109.51</w:t>
            </w:r>
          </w:p>
        </w:tc>
        <w:tc>
          <w:tcPr>
            <w:tcW w:w="1705"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14572.17</w:t>
            </w:r>
          </w:p>
        </w:tc>
        <w:tc>
          <w:tcPr>
            <w:tcW w:w="1704"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15490.09</w:t>
            </w:r>
          </w:p>
        </w:tc>
        <w:tc>
          <w:tcPr>
            <w:tcW w:w="1705"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45171.77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病理性废物</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15.44</w:t>
            </w:r>
          </w:p>
        </w:tc>
        <w:tc>
          <w:tcPr>
            <w:tcW w:w="1705"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46.91</w:t>
            </w:r>
          </w:p>
        </w:tc>
        <w:tc>
          <w:tcPr>
            <w:tcW w:w="1704"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25.62</w:t>
            </w:r>
          </w:p>
        </w:tc>
        <w:tc>
          <w:tcPr>
            <w:tcW w:w="1705"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87.97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损伤性废物</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1310.05</w:t>
            </w:r>
          </w:p>
        </w:tc>
        <w:tc>
          <w:tcPr>
            <w:tcW w:w="1705"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1608.22</w:t>
            </w:r>
          </w:p>
        </w:tc>
        <w:tc>
          <w:tcPr>
            <w:tcW w:w="1704" w:type="dxa"/>
            <w:vAlign w:val="center"/>
          </w:tcPr>
          <w:p>
            <w:pPr>
              <w:jc w:val="center"/>
              <w:rPr>
                <w:rFonts w:hint="eastAsia" w:ascii="Times New Roman" w:hAnsi="Times New Roman" w:eastAsia="宋体" w:cs="Times New Roman"/>
              </w:rPr>
            </w:pPr>
            <w:r>
              <w:rPr>
                <w:rFonts w:hint="default" w:ascii="Times New Roman" w:hAnsi="Times New Roman" w:eastAsia="宋体" w:cs="Times New Roman"/>
                <w:lang w:val="en-US"/>
              </w:rPr>
              <w:t>1494.22</w:t>
            </w:r>
          </w:p>
        </w:tc>
        <w:tc>
          <w:tcPr>
            <w:tcW w:w="1705"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4412.49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药物性废物</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7.7</w:t>
            </w:r>
          </w:p>
        </w:tc>
        <w:tc>
          <w:tcPr>
            <w:tcW w:w="1705"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0</w:t>
            </w:r>
          </w:p>
        </w:tc>
        <w:tc>
          <w:tcPr>
            <w:tcW w:w="1704"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0</w:t>
            </w:r>
          </w:p>
        </w:tc>
        <w:tc>
          <w:tcPr>
            <w:tcW w:w="1705"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化学性废物</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63.79</w:t>
            </w:r>
          </w:p>
        </w:tc>
        <w:tc>
          <w:tcPr>
            <w:tcW w:w="1705"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77.44</w:t>
            </w:r>
          </w:p>
        </w:tc>
        <w:tc>
          <w:tcPr>
            <w:tcW w:w="1704"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144.89</w:t>
            </w:r>
          </w:p>
        </w:tc>
        <w:tc>
          <w:tcPr>
            <w:tcW w:w="1705"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286.12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在线监测废液</w:t>
            </w:r>
          </w:p>
        </w:tc>
        <w:tc>
          <w:tcPr>
            <w:tcW w:w="1704"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0</w:t>
            </w:r>
          </w:p>
        </w:tc>
        <w:tc>
          <w:tcPr>
            <w:tcW w:w="1705"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0</w:t>
            </w:r>
          </w:p>
        </w:tc>
        <w:tc>
          <w:tcPr>
            <w:tcW w:w="1704"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0</w:t>
            </w:r>
          </w:p>
        </w:tc>
        <w:tc>
          <w:tcPr>
            <w:tcW w:w="1705"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0</w:t>
            </w:r>
          </w:p>
        </w:tc>
      </w:tr>
    </w:tbl>
    <w:p>
      <w:pPr>
        <w:spacing w:line="360" w:lineRule="auto"/>
        <w:rPr>
          <w:rFonts w:ascii="Times New Roman" w:hAnsi="Times New Roman" w:eastAsia="宋体" w:cs="Times New Roman"/>
          <w:b/>
          <w:bCs/>
        </w:rPr>
      </w:pPr>
    </w:p>
    <w:p>
      <w:pPr>
        <w:spacing w:line="360" w:lineRule="auto"/>
        <w:jc w:val="right"/>
        <w:rPr>
          <w:rFonts w:ascii="Times New Roman" w:hAnsi="Times New Roman" w:eastAsia="宋体" w:cs="Times New Roman"/>
        </w:rPr>
      </w:pPr>
      <w:r>
        <w:rPr>
          <w:rFonts w:hint="eastAsia" w:ascii="Times New Roman" w:hAnsi="Times New Roman" w:eastAsia="宋体" w:cs="Times New Roman"/>
        </w:rPr>
        <w:t>临沧市人民医院</w:t>
      </w:r>
    </w:p>
    <w:p>
      <w:pPr>
        <w:spacing w:line="360" w:lineRule="auto"/>
        <w:jc w:val="right"/>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023</w:t>
      </w:r>
      <w:r>
        <w:rPr>
          <w:rFonts w:hint="eastAsia" w:ascii="Times New Roman" w:hAnsi="Times New Roman" w:eastAsia="宋体" w:cs="Times New Roman"/>
        </w:rPr>
        <w:t>年7月2</w:t>
      </w:r>
      <w:r>
        <w:rPr>
          <w:rFonts w:ascii="Times New Roman" w:hAnsi="Times New Roman" w:eastAsia="宋体" w:cs="Times New Roman"/>
        </w:rPr>
        <w:t>6</w:t>
      </w:r>
      <w:r>
        <w:rPr>
          <w:rFonts w:hint="eastAsia" w:ascii="Times New Roman" w:hAnsi="Times New Roman" w:eastAsia="宋体" w:cs="Times New Roma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13A66"/>
    <w:multiLevelType w:val="multilevel"/>
    <w:tmpl w:val="4AA13A66"/>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ZTI0MzY5YzI1ZWQ5ZTFlNGU4YzQ4ZDMzNWQ1NDY3OGYifQ=="/>
  </w:docVars>
  <w:rsids>
    <w:rsidRoot w:val="00B72EBE"/>
    <w:rsid w:val="001676CB"/>
    <w:rsid w:val="001A103B"/>
    <w:rsid w:val="003348DF"/>
    <w:rsid w:val="0035761E"/>
    <w:rsid w:val="003A0F02"/>
    <w:rsid w:val="003F6BB1"/>
    <w:rsid w:val="004265CA"/>
    <w:rsid w:val="00470867"/>
    <w:rsid w:val="0051756C"/>
    <w:rsid w:val="005D6E26"/>
    <w:rsid w:val="00742DB0"/>
    <w:rsid w:val="007C373D"/>
    <w:rsid w:val="008B1B10"/>
    <w:rsid w:val="00953C3A"/>
    <w:rsid w:val="009F55E3"/>
    <w:rsid w:val="009F73CE"/>
    <w:rsid w:val="00B01577"/>
    <w:rsid w:val="00B72EBE"/>
    <w:rsid w:val="00C0797B"/>
    <w:rsid w:val="00CD2E8E"/>
    <w:rsid w:val="00D52A88"/>
    <w:rsid w:val="00D97135"/>
    <w:rsid w:val="00DB5D6C"/>
    <w:rsid w:val="00EE2B70"/>
    <w:rsid w:val="00F7732A"/>
    <w:rsid w:val="00FA616C"/>
    <w:rsid w:val="11022A0D"/>
    <w:rsid w:val="7B8DF1E6"/>
    <w:rsid w:val="BE4B3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tabs>
        <w:tab w:val="center" w:pos="4153"/>
        <w:tab w:val="right" w:pos="8306"/>
      </w:tabs>
      <w:snapToGrid w:val="0"/>
      <w:jc w:val="center"/>
    </w:pPr>
    <w:rPr>
      <w:sz w:val="18"/>
      <w:szCs w:val="18"/>
    </w:rPr>
  </w:style>
  <w:style w:type="paragraph" w:styleId="6">
    <w:name w:val="Subtitle"/>
    <w:basedOn w:val="1"/>
    <w:next w:val="1"/>
    <w:link w:val="13"/>
    <w:qFormat/>
    <w:uiPriority w:val="11"/>
    <w:pPr>
      <w:spacing w:before="240" w:after="60" w:line="312" w:lineRule="auto"/>
      <w:jc w:val="center"/>
      <w:outlineLvl w:val="1"/>
    </w:pPr>
    <w:rPr>
      <w:b/>
      <w:bCs/>
      <w:kern w:val="28"/>
      <w:sz w:val="32"/>
      <w:szCs w:val="32"/>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uiPriority w:val="99"/>
    <w:rPr>
      <w:sz w:val="18"/>
      <w:szCs w:val="18"/>
    </w:rPr>
  </w:style>
  <w:style w:type="character" w:customStyle="1" w:styleId="11">
    <w:name w:val="页脚 字符"/>
    <w:basedOn w:val="9"/>
    <w:link w:val="4"/>
    <w:uiPriority w:val="99"/>
    <w:rPr>
      <w:sz w:val="18"/>
      <w:szCs w:val="18"/>
    </w:rPr>
  </w:style>
  <w:style w:type="character" w:customStyle="1" w:styleId="12">
    <w:name w:val="标题 1 字符"/>
    <w:basedOn w:val="9"/>
    <w:link w:val="2"/>
    <w:uiPriority w:val="9"/>
    <w:rPr>
      <w:b/>
      <w:bCs/>
      <w:kern w:val="44"/>
      <w:sz w:val="44"/>
      <w:szCs w:val="44"/>
    </w:rPr>
  </w:style>
  <w:style w:type="character" w:customStyle="1" w:styleId="13">
    <w:name w:val="副标题 字符"/>
    <w:basedOn w:val="9"/>
    <w:link w:val="6"/>
    <w:uiPriority w:val="11"/>
    <w:rPr>
      <w:b/>
      <w:bCs/>
      <w:kern w:val="28"/>
      <w:sz w:val="32"/>
      <w:szCs w:val="3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143</Words>
  <Characters>820</Characters>
  <Lines>6</Lines>
  <Paragraphs>1</Paragraphs>
  <TotalTime>2</TotalTime>
  <ScaleCrop>false</ScaleCrop>
  <LinksUpToDate>false</LinksUpToDate>
  <CharactersWithSpaces>962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2023-07-26T17:43:00Z</dcterms:created>
  <dc:creator>环境 科义</dc:creator>
  <cp:lastModifiedBy>狂风中拥抱</cp:lastModifiedBy>
  <dcterms:modified xsi:type="dcterms:W3CDTF">2023-12-14T02:38:37Z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94BD9970ABB4E1B40B302165F1B0969F_42</vt:lpwstr>
  </property>
</Properties>
</file>